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Лето в Крыму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3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6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ab/>
        <w:t xml:space="preserve"> </w:t>
      </w:r>
      <w:r>
        <w:rPr>
          <w:rFonts w:cs="Arial" w:ascii="Arial" w:hAnsi="Arial"/>
          <w:color w:val="363636"/>
        </w:rPr>
        <w:t>4</w:t>
      </w:r>
      <w:r>
        <w:rPr>
          <w:rFonts w:cs="Arial" w:ascii="Arial" w:hAnsi="Arial"/>
          <w:color w:val="363636"/>
        </w:rPr>
        <w:t xml:space="preserve"> дня</w:t>
        <w:tab/>
        <w:t xml:space="preserve">от  </w:t>
      </w:r>
      <w:r>
        <w:rPr>
          <w:rFonts w:cs="Arial" w:ascii="Arial" w:hAnsi="Arial"/>
          <w:color w:val="363636"/>
        </w:rPr>
        <w:t>130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36"/>
        </w:rPr>
        <w:t>Ялта-Алупка-Оползневое-Севастополь-Партенит-Массандра-Коктебель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03.07.2020-06.07.2020 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Отправление 02.07 в 17:00 из Краснодара</w:t>
      </w:r>
    </w:p>
    <w:p>
      <w:pPr>
        <w:pStyle w:val="3"/>
        <w:widowControl/>
        <w:spacing w:lineRule="atLeast" w:line="330" w:before="0" w:after="225"/>
        <w:ind w:left="0" w:right="0" w:hanging="0"/>
        <w:jc w:val="left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02.07.20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 Гипермаркета Магнит на ул.Дзержинского/ ул.Лузана.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03.07.20 / 1 день / Дворцы и парки Крыма  (Алупка – Гаспра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Отдых. 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на экскурсию в Воронцовский дворец и парк в Алупке.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Дворец считается 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 Бонани. Продолжением экскурсии станет прогулка по Алупкинскому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солнечные поляны и укромные гроты, озера и водопады, малый и большой хаос. 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Благодаря М.С.Воронцову в Крыму появилось промышленное виноделие. Поэтому не случайно, именно здесь в Алупке, рядом с дворцовым комплексом,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мы предлагаем Вам дегустацию Массандровских вин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Отсюда мы совершим пешеходную экскурсию к миниатюрному замку – Ласточкино гнездо, символу Южного Берега Крыма. Строение находится на отвесной скале и напоминает средневековый рыцарский замок в миниатюре.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 вдоль Южного Берега Крыма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пляжи в Ялте обустроены необходимой инфраструктурой для отдыха.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набережную Ялты. 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 холм Дарсан.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 можно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насладиться звучанием органной музыки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04.07.20 / 2 день / Легендарный Севастополь и райский сад  (Севастополь – Оползневое)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Наше путешествие пролегает по живописной трассе Ялта -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слева - завораживающее море, справа – горы, покрытые вечнозелёным лесом. По дороге Вы услышите экскурсию о достопримечательностях ЮБК. Из окон автобуса Вы увидите гору Кошку, Форосский храм, панораму на Ласпинскую бухту.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1941–1944гг. «Малахов курган».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Малахов курган – самая высокая точка Севастополя.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людьми.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 здесь,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и корабельных орудий со снарядами.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Оборонительной башни Корниловского бастиона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центр Севастополя. Морская прогулка на экскурсионном катере по бухте с осмотром военных кораблей Черноморского флота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и морского фасада Севастополя. Бухта — это главная достопримечательность морских городов.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на экскурсию в с. Оползневое для посещения Японского сада.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Японский сад «Шесть чувств» - единственный в мире японский сад на берегу моря. Это самый крупный японский сад в Европе, занимает площадь 6га и включает в себя водопады, мосты, пруды с золотыми карпами и черепахами, сад камней и другие оригинальные элементы и строения.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 время экскурсии Вы узнаете об основных элементах сада, их взаимосвязи с религией и мироощущением японцев. 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 В завершении экскурсии Вам будет предложен изысканный элитный чай, заваренный по особой технологии.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05.07.20 / 3 день / Романтика  Крыма (Партенит – Массандра)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на экскурсию в п.Партенит.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парка садово-паркового искусства "Парадиз"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санатория "Айвазовское", который занимает территорию 25га.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п.Массандра, где Вас ждёт прогулка по Массандровскому парку и экскурсия во дворец Александра III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- один из интереснейших памятников архитектуры 19 века, построенный в стиле ЛюдовикаXIII – Массандровский дворец.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вечернюю Набережную Ялты.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06.07.20 / 4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 вдоль Южного Берега Крыма.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и купание в открытом море. 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hyperlink r:id="rId3">
        <w:r>
          <w:rPr>
            <w:rFonts w:ascii="Ubuntu;Arial;sans-serif" w:hAnsi="Ubuntu;Arial;sans-serif"/>
            <w:b/>
            <w:i w:val="false"/>
            <w:caps/>
            <w:color w:val="040D0A"/>
            <w:spacing w:val="0"/>
            <w:sz w:val="30"/>
          </w:rPr>
          <w:t>СТОИМОСТЬ ТУРА</w:t>
        </w:r>
      </w:hyperlink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799"/>
        <w:gridCol w:w="1801"/>
        <w:gridCol w:w="2129"/>
        <w:gridCol w:w="2064"/>
        <w:gridCol w:w="2271"/>
      </w:tblGrid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hyperlink r:id="rId4">
              <w:r>
                <w:rPr>
                  <w:rStyle w:val="Style5"/>
                  <w:b/>
                  <w:strike w:val="false"/>
                  <w:dstrike w:val="false"/>
                  <w:color w:val="007300"/>
                  <w:u w:val="none"/>
                  <w:effect w:val="none"/>
                </w:rPr>
                <w:t>Пансионат «Малахит»</w:t>
              </w:r>
            </w:hyperlink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полулюкс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в рублях за тур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225" w:after="225"/>
        <w:ind w:left="0" w:right="0" w:hanging="0"/>
        <w:jc w:val="center"/>
        <w:rPr/>
      </w:pPr>
      <w:r>
        <w:rPr>
          <w:rStyle w:val="Style10"/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(4 завтрака, 3 ужина)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Воронцовский дворец: 350 руб./взр., 70 руб./детск., 200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Дегустация Массандровских вин: 350 руб./взр., 350 руб./пенс., 350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Малахова Кургана: 300 руб./взр., 150 руб./детск., 300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Японский сад «Шесть чувств»: 1500 руб./взр., 700 руб./детск., 1000 руб./пенс., 1500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п.Партенит: 600 руб./взр., 300 руб./детск., 300 руб./пенс., 600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Массандровский дворец: 350 руб./взр., 70 руб./детск., 200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s://eostour.ru/upload/iblock/deb/deb40a071e24ba43d6a3358fed5dca2c.doc" TargetMode="External"/><Relationship Id="rId4" Type="http://schemas.openxmlformats.org/officeDocument/2006/relationships/hyperlink" Target="http://eostour.ru/turistam/pansionat-malakhit-yalt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LibreOffice/6.0.1.1$Windows_x86 LibreOffice_project/60bfb1526849283ce2491346ed2aa51c465abfe6</Application>
  <Pages>7</Pages>
  <Words>1744</Words>
  <Characters>11086</Characters>
  <CharactersWithSpaces>12746</CharactersWithSpaces>
  <Paragraphs>88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2020-03-16T15:35:57Z</dcterms:modified>
  <cp:revision>8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