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5" w:rsidRPr="009F7355" w:rsidRDefault="000613A7" w:rsidP="009F7355">
      <w:pPr>
        <w:pStyle w:val="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Юго-Восточный Крым</w:t>
      </w:r>
      <w:bookmarkStart w:id="0" w:name="_GoBack"/>
      <w:bookmarkEnd w:id="0"/>
    </w:p>
    <w:p w:rsidR="00AB1655" w:rsidRDefault="006D032E" w:rsidP="00AB1655">
      <w:pPr>
        <w:pStyle w:val="2"/>
        <w:shd w:val="clear" w:color="auto" w:fill="FFFFFF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1 мая</w:t>
      </w:r>
      <w:r w:rsidR="00AB1655">
        <w:rPr>
          <w:rFonts w:ascii="Arial" w:hAnsi="Arial" w:cs="Arial"/>
          <w:color w:val="363636"/>
        </w:rPr>
        <w:t xml:space="preserve"> – </w:t>
      </w:r>
      <w:r>
        <w:rPr>
          <w:rFonts w:ascii="Arial" w:hAnsi="Arial" w:cs="Arial"/>
          <w:color w:val="363636"/>
        </w:rPr>
        <w:t>3 мая</w:t>
      </w:r>
      <w:r>
        <w:rPr>
          <w:rFonts w:ascii="Arial" w:hAnsi="Arial" w:cs="Arial"/>
          <w:color w:val="363636"/>
        </w:rPr>
        <w:tab/>
        <w:t>3</w:t>
      </w:r>
      <w:r w:rsidR="00D53809">
        <w:rPr>
          <w:rFonts w:ascii="Arial" w:hAnsi="Arial" w:cs="Arial"/>
          <w:color w:val="363636"/>
        </w:rPr>
        <w:t xml:space="preserve"> дня</w:t>
      </w:r>
      <w:r w:rsidR="00D53809">
        <w:rPr>
          <w:rFonts w:ascii="Arial" w:hAnsi="Arial" w:cs="Arial"/>
          <w:color w:val="363636"/>
        </w:rPr>
        <w:tab/>
        <w:t xml:space="preserve">от  </w:t>
      </w:r>
      <w:r w:rsidR="00BC3C6B">
        <w:rPr>
          <w:rFonts w:ascii="Arial" w:hAnsi="Arial" w:cs="Arial"/>
          <w:color w:val="363636"/>
        </w:rPr>
        <w:t>85</w:t>
      </w:r>
      <w:r w:rsidR="00AB1655" w:rsidRPr="00AB1655">
        <w:rPr>
          <w:rFonts w:ascii="Arial" w:hAnsi="Arial" w:cs="Arial"/>
          <w:color w:val="363636"/>
        </w:rPr>
        <w:t xml:space="preserve">00 </w:t>
      </w:r>
      <w:proofErr w:type="spellStart"/>
      <w:r w:rsidR="00AB1655" w:rsidRPr="00AB1655">
        <w:rPr>
          <w:rFonts w:ascii="Arial" w:hAnsi="Arial" w:cs="Arial"/>
          <w:color w:val="363636"/>
        </w:rPr>
        <w:t>руб</w:t>
      </w:r>
      <w:proofErr w:type="spellEnd"/>
      <w:r>
        <w:rPr>
          <w:rFonts w:ascii="Arial" w:hAnsi="Arial" w:cs="Arial"/>
          <w:color w:val="363636"/>
        </w:rPr>
        <w:t xml:space="preserve"> за </w:t>
      </w:r>
      <w:r w:rsidR="00AB1655" w:rsidRPr="00AB1655">
        <w:rPr>
          <w:rFonts w:ascii="Arial" w:hAnsi="Arial" w:cs="Arial"/>
          <w:color w:val="363636"/>
        </w:rPr>
        <w:t>тур</w:t>
      </w:r>
    </w:p>
    <w:p w:rsidR="00BC3C6B" w:rsidRDefault="00BC3C6B" w:rsidP="00BC3C6B">
      <w:pPr>
        <w:pStyle w:val="3"/>
        <w:shd w:val="clear" w:color="auto" w:fill="FFFFFF"/>
        <w:spacing w:before="0" w:after="225" w:line="330" w:lineRule="atLeast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Керчь – Феодосия – Судак – Новый Свет – Старый Крым</w:t>
      </w: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color w:val="040D0A"/>
        </w:rPr>
        <w:br/>
        <w:t xml:space="preserve">Отправление 01.05 в 05:00 из Краснодара от Гипермаркета Магнит на </w:t>
      </w:r>
      <w:proofErr w:type="spellStart"/>
      <w:r>
        <w:rPr>
          <w:rFonts w:ascii="Arial" w:hAnsi="Arial" w:cs="Arial"/>
          <w:color w:val="040D0A"/>
        </w:rPr>
        <w:t>ул</w:t>
      </w:r>
      <w:proofErr w:type="gramStart"/>
      <w:r>
        <w:rPr>
          <w:rFonts w:ascii="Arial" w:hAnsi="Arial" w:cs="Arial"/>
          <w:color w:val="040D0A"/>
        </w:rPr>
        <w:t>.Д</w:t>
      </w:r>
      <w:proofErr w:type="gramEnd"/>
      <w:r>
        <w:rPr>
          <w:rFonts w:ascii="Arial" w:hAnsi="Arial" w:cs="Arial"/>
          <w:color w:val="040D0A"/>
        </w:rPr>
        <w:t>зержинского</w:t>
      </w:r>
      <w:proofErr w:type="spellEnd"/>
      <w:r>
        <w:rPr>
          <w:rFonts w:ascii="Arial" w:hAnsi="Arial" w:cs="Arial"/>
          <w:color w:val="040D0A"/>
        </w:rPr>
        <w:t xml:space="preserve">/ </w:t>
      </w:r>
      <w:proofErr w:type="spellStart"/>
      <w:r>
        <w:rPr>
          <w:rFonts w:ascii="Arial" w:hAnsi="Arial" w:cs="Arial"/>
          <w:color w:val="040D0A"/>
        </w:rPr>
        <w:t>ул.Лузана</w:t>
      </w:r>
      <w:proofErr w:type="spellEnd"/>
      <w:r>
        <w:rPr>
          <w:rFonts w:ascii="Arial" w:hAnsi="Arial" w:cs="Arial"/>
          <w:color w:val="040D0A"/>
        </w:rPr>
        <w:t>.</w:t>
      </w:r>
    </w:p>
    <w:p w:rsidR="00BC3C6B" w:rsidRDefault="00BC3C6B" w:rsidP="00BC3C6B">
      <w:pPr>
        <w:shd w:val="clear" w:color="auto" w:fill="FFFFFF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Основные населенные пункты посадки по пути:</w:t>
      </w:r>
      <w:r>
        <w:rPr>
          <w:rFonts w:ascii="Arial" w:hAnsi="Arial" w:cs="Arial"/>
          <w:color w:val="040D0A"/>
        </w:rPr>
        <w:t> </w:t>
      </w:r>
      <w:proofErr w:type="spellStart"/>
      <w:r>
        <w:rPr>
          <w:rFonts w:ascii="Arial" w:hAnsi="Arial" w:cs="Arial"/>
          <w:color w:val="040D0A"/>
        </w:rPr>
        <w:t>ст</w:t>
      </w:r>
      <w:proofErr w:type="gramStart"/>
      <w:r>
        <w:rPr>
          <w:rFonts w:ascii="Arial" w:hAnsi="Arial" w:cs="Arial"/>
          <w:color w:val="040D0A"/>
        </w:rPr>
        <w:t>.Е</w:t>
      </w:r>
      <w:proofErr w:type="gramEnd"/>
      <w:r>
        <w:rPr>
          <w:rFonts w:ascii="Arial" w:hAnsi="Arial" w:cs="Arial"/>
          <w:color w:val="040D0A"/>
        </w:rPr>
        <w:t>лизаветинская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п.Белозерный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г.Славянск</w:t>
      </w:r>
      <w:proofErr w:type="spellEnd"/>
      <w:r>
        <w:rPr>
          <w:rFonts w:ascii="Arial" w:hAnsi="Arial" w:cs="Arial"/>
          <w:color w:val="040D0A"/>
        </w:rPr>
        <w:t xml:space="preserve"> на Кубани, ст. </w:t>
      </w:r>
      <w:proofErr w:type="spellStart"/>
      <w:r>
        <w:rPr>
          <w:rFonts w:ascii="Arial" w:hAnsi="Arial" w:cs="Arial"/>
          <w:color w:val="040D0A"/>
        </w:rPr>
        <w:t>Анастасиевская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п.Светлый</w:t>
      </w:r>
      <w:proofErr w:type="spellEnd"/>
      <w:r>
        <w:rPr>
          <w:rFonts w:ascii="Arial" w:hAnsi="Arial" w:cs="Arial"/>
          <w:color w:val="040D0A"/>
        </w:rPr>
        <w:t xml:space="preserve"> Путь, </w:t>
      </w:r>
      <w:proofErr w:type="spellStart"/>
      <w:r>
        <w:rPr>
          <w:rFonts w:ascii="Arial" w:hAnsi="Arial" w:cs="Arial"/>
          <w:color w:val="040D0A"/>
        </w:rPr>
        <w:t>г.Темрюк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ст.Голубицкая</w:t>
      </w:r>
      <w:proofErr w:type="spellEnd"/>
      <w:r>
        <w:rPr>
          <w:rFonts w:ascii="Arial" w:hAnsi="Arial" w:cs="Arial"/>
          <w:color w:val="040D0A"/>
        </w:rPr>
        <w:t>.</w:t>
      </w:r>
      <w:r>
        <w:rPr>
          <w:rFonts w:ascii="Arial" w:hAnsi="Arial" w:cs="Arial"/>
          <w:color w:val="040D0A"/>
        </w:rPr>
        <w:br/>
      </w:r>
    </w:p>
    <w:p w:rsidR="00BC3C6B" w:rsidRDefault="00BC3C6B" w:rsidP="00BC3C6B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>
        <w:rPr>
          <w:rFonts w:ascii="Arial" w:hAnsi="Arial" w:cs="Arial"/>
          <w:b/>
          <w:bCs/>
          <w:caps/>
          <w:color w:val="040D0A"/>
          <w:sz w:val="30"/>
          <w:szCs w:val="30"/>
        </w:rPr>
        <w:t>ПРОГРАММА ТУРА</w:t>
      </w:r>
    </w:p>
    <w:p w:rsidR="00BC3C6B" w:rsidRDefault="00BC3C6B" w:rsidP="00BC3C6B">
      <w:pPr>
        <w:shd w:val="clear" w:color="auto" w:fill="FFFFFF"/>
        <w:spacing w:line="240" w:lineRule="auto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b/>
          <w:bCs/>
          <w:color w:val="040D0A"/>
        </w:rPr>
        <w:t>01.05.20 / Выезд</w:t>
      </w:r>
      <w:r>
        <w:rPr>
          <w:rFonts w:ascii="Arial" w:hAnsi="Arial" w:cs="Arial"/>
          <w:color w:val="040D0A"/>
        </w:rPr>
        <w:br/>
      </w:r>
    </w:p>
    <w:p w:rsidR="00BC3C6B" w:rsidRDefault="00BC3C6B" w:rsidP="00BC3C6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 05:00 на автобусе в сопровождении экскурсовода туристы выезжают из Краснодара</w:t>
      </w:r>
      <w:r>
        <w:rPr>
          <w:rFonts w:ascii="Arial" w:hAnsi="Arial" w:cs="Arial"/>
          <w:color w:val="040D0A"/>
        </w:rPr>
        <w:t xml:space="preserve"> от Гипермаркета Магнит на </w:t>
      </w:r>
      <w:proofErr w:type="spellStart"/>
      <w:r>
        <w:rPr>
          <w:rFonts w:ascii="Arial" w:hAnsi="Arial" w:cs="Arial"/>
          <w:color w:val="040D0A"/>
        </w:rPr>
        <w:t>ул</w:t>
      </w:r>
      <w:proofErr w:type="gramStart"/>
      <w:r>
        <w:rPr>
          <w:rFonts w:ascii="Arial" w:hAnsi="Arial" w:cs="Arial"/>
          <w:color w:val="040D0A"/>
        </w:rPr>
        <w:t>.Д</w:t>
      </w:r>
      <w:proofErr w:type="gramEnd"/>
      <w:r>
        <w:rPr>
          <w:rFonts w:ascii="Arial" w:hAnsi="Arial" w:cs="Arial"/>
          <w:color w:val="040D0A"/>
        </w:rPr>
        <w:t>зержинского</w:t>
      </w:r>
      <w:proofErr w:type="spellEnd"/>
      <w:r>
        <w:rPr>
          <w:rFonts w:ascii="Arial" w:hAnsi="Arial" w:cs="Arial"/>
          <w:color w:val="040D0A"/>
        </w:rPr>
        <w:t>/</w:t>
      </w:r>
      <w:proofErr w:type="spellStart"/>
      <w:r>
        <w:rPr>
          <w:rFonts w:ascii="Arial" w:hAnsi="Arial" w:cs="Arial"/>
          <w:color w:val="040D0A"/>
        </w:rPr>
        <w:t>ул.Лузана</w:t>
      </w:r>
      <w:proofErr w:type="spellEnd"/>
      <w:r>
        <w:rPr>
          <w:rFonts w:ascii="Arial" w:hAnsi="Arial" w:cs="Arial"/>
          <w:color w:val="040D0A"/>
        </w:rPr>
        <w:t>. </w:t>
      </w:r>
    </w:p>
    <w:p w:rsidR="00BC3C6B" w:rsidRDefault="00BC3C6B" w:rsidP="00BC3C6B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Переезд в Керчь по Крымскому мосту</w:t>
      </w:r>
      <w:proofErr w:type="gramStart"/>
      <w:r>
        <w:rPr>
          <w:rFonts w:ascii="Arial" w:hAnsi="Arial" w:cs="Arial"/>
          <w:color w:val="040D0A"/>
        </w:rPr>
        <w:t>.</w:t>
      </w:r>
      <w:proofErr w:type="gramEnd"/>
      <w:r>
        <w:rPr>
          <w:rFonts w:ascii="Arial" w:hAnsi="Arial" w:cs="Arial"/>
          <w:color w:val="040D0A"/>
        </w:rPr>
        <w:t xml:space="preserve"> (</w:t>
      </w:r>
      <w:proofErr w:type="gramStart"/>
      <w:r>
        <w:rPr>
          <w:rFonts w:ascii="Arial" w:hAnsi="Arial" w:cs="Arial"/>
          <w:color w:val="040D0A"/>
        </w:rPr>
        <w:t>о</w:t>
      </w:r>
      <w:proofErr w:type="gramEnd"/>
      <w:r>
        <w:rPr>
          <w:rFonts w:ascii="Arial" w:hAnsi="Arial" w:cs="Arial"/>
          <w:color w:val="040D0A"/>
        </w:rPr>
        <w:t>коло 300 км.)</w:t>
      </w:r>
    </w:p>
    <w:p w:rsidR="00BC3C6B" w:rsidRDefault="00BC3C6B" w:rsidP="00BC3C6B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01.05.20 / 1 день / Керчь и Феодосия  – вечные города! (Керчь - Феодосия)</w:t>
      </w:r>
      <w:r>
        <w:rPr>
          <w:rFonts w:ascii="Arial" w:hAnsi="Arial" w:cs="Arial"/>
          <w:color w:val="040D0A"/>
        </w:rPr>
        <w:br/>
      </w:r>
    </w:p>
    <w:p w:rsidR="00BC3C6B" w:rsidRDefault="00BC3C6B" w:rsidP="00BC3C6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Знакомство с юго-восточным Крымом начинается с посещения города-героя Керчи.</w:t>
      </w:r>
      <w:r>
        <w:rPr>
          <w:rFonts w:ascii="Arial" w:hAnsi="Arial" w:cs="Arial"/>
          <w:color w:val="040D0A"/>
        </w:rPr>
        <w:t> Городу XXVI веков. </w:t>
      </w:r>
    </w:p>
    <w:p w:rsidR="00BC3C6B" w:rsidRDefault="00BC3C6B" w:rsidP="00BC3C6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Подъём на вершину горы Митридат - гора, которая соединила в себе культурные ценности эпохи Античности, Средних веков и Нового времени. Именно она является визитной карточкой этой местности. Отсюда берет начало славная история города Керчи. Тут в годы Великой Отечественной войны советские солдаты сражались с фашистами, а 26 веков назад процветал древний город Пантикапей. Со смотровой площадки горы открывается панорамный вид на Керчь, Большую </w:t>
      </w:r>
      <w:proofErr w:type="spellStart"/>
      <w:r>
        <w:rPr>
          <w:rFonts w:ascii="Arial" w:hAnsi="Arial" w:cs="Arial"/>
          <w:color w:val="040D0A"/>
        </w:rPr>
        <w:t>Митридатскую</w:t>
      </w:r>
      <w:proofErr w:type="spellEnd"/>
      <w:r>
        <w:rPr>
          <w:rFonts w:ascii="Arial" w:hAnsi="Arial" w:cs="Arial"/>
          <w:color w:val="040D0A"/>
        </w:rPr>
        <w:t xml:space="preserve"> лестницу и Крымский мост. </w:t>
      </w:r>
    </w:p>
    <w:p w:rsidR="00BC3C6B" w:rsidRDefault="00BC3C6B" w:rsidP="00BC3C6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Обзорная экскурсия по городу с осмотром Церкв</w:t>
      </w:r>
      <w:proofErr w:type="gramStart"/>
      <w:r>
        <w:rPr>
          <w:rFonts w:ascii="Arial" w:hAnsi="Arial" w:cs="Arial"/>
          <w:b/>
          <w:bCs/>
          <w:color w:val="040D0A"/>
        </w:rPr>
        <w:t>и Иоа</w:t>
      </w:r>
      <w:proofErr w:type="gramEnd"/>
      <w:r>
        <w:rPr>
          <w:rFonts w:ascii="Arial" w:hAnsi="Arial" w:cs="Arial"/>
          <w:b/>
          <w:bCs/>
          <w:color w:val="040D0A"/>
        </w:rPr>
        <w:t>нна Предтечи</w:t>
      </w:r>
      <w:r>
        <w:rPr>
          <w:rFonts w:ascii="Arial" w:hAnsi="Arial" w:cs="Arial"/>
          <w:color w:val="040D0A"/>
        </w:rPr>
        <w:t>, которая расположилась в самом центре города Керчь, у подножия горы Митридат — прекрасный образец зодчества, выполненный в традициях византийской архитектуры. Она считается одним из древнейших христианских храмов не только на Крымском полуострове, но и в Европе, а живописный нарядный облик заметно выделяет её из ряда православных церквей. Считается древнейшим православным храмом на всем полуострове Крым. </w:t>
      </w:r>
    </w:p>
    <w:p w:rsidR="00BC3C6B" w:rsidRDefault="00BC3C6B" w:rsidP="00BC3C6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Переезд в Феодосию (100 км). </w:t>
      </w:r>
      <w:r>
        <w:rPr>
          <w:rFonts w:ascii="Arial" w:hAnsi="Arial" w:cs="Arial"/>
          <w:color w:val="040D0A"/>
        </w:rPr>
        <w:t>Феодосия – древнейший город планеты, городу 25 веков. Впервые на берегу удобного залива поселение было образовано греками в 6 веке до нашей эры и переводилось название Феодосия как «дар богов». Здесь сочетаются удивительные климатические условия, красота природы и богатое историческое прошлое. </w:t>
      </w:r>
    </w:p>
    <w:p w:rsidR="00BC3C6B" w:rsidRDefault="00BC3C6B" w:rsidP="00BC3C6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Свободное время для обеда за </w:t>
      </w:r>
      <w:proofErr w:type="spellStart"/>
      <w:r>
        <w:rPr>
          <w:rFonts w:ascii="Arial" w:hAnsi="Arial" w:cs="Arial"/>
          <w:b/>
          <w:bCs/>
          <w:color w:val="040D0A"/>
        </w:rPr>
        <w:t>доп</w:t>
      </w:r>
      <w:proofErr w:type="gramStart"/>
      <w:r>
        <w:rPr>
          <w:rFonts w:ascii="Arial" w:hAnsi="Arial" w:cs="Arial"/>
          <w:b/>
          <w:bCs/>
          <w:color w:val="040D0A"/>
        </w:rPr>
        <w:t>.п</w:t>
      </w:r>
      <w:proofErr w:type="gramEnd"/>
      <w:r>
        <w:rPr>
          <w:rFonts w:ascii="Arial" w:hAnsi="Arial" w:cs="Arial"/>
          <w:b/>
          <w:bCs/>
          <w:color w:val="040D0A"/>
        </w:rPr>
        <w:t>лату</w:t>
      </w:r>
      <w:proofErr w:type="spellEnd"/>
      <w:r>
        <w:rPr>
          <w:rFonts w:ascii="Arial" w:hAnsi="Arial" w:cs="Arial"/>
          <w:b/>
          <w:bCs/>
          <w:color w:val="040D0A"/>
        </w:rPr>
        <w:t>. </w:t>
      </w:r>
    </w:p>
    <w:p w:rsidR="00BC3C6B" w:rsidRDefault="00BC3C6B" w:rsidP="00BC3C6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lastRenderedPageBreak/>
        <w:t xml:space="preserve">Экскурсия в Картинную галерею </w:t>
      </w:r>
      <w:proofErr w:type="spellStart"/>
      <w:r>
        <w:rPr>
          <w:rFonts w:ascii="Arial" w:hAnsi="Arial" w:cs="Arial"/>
          <w:b/>
          <w:bCs/>
          <w:color w:val="040D0A"/>
        </w:rPr>
        <w:t>И.К.Айвазовского</w:t>
      </w:r>
      <w:proofErr w:type="spellEnd"/>
      <w:r>
        <w:rPr>
          <w:rFonts w:ascii="Arial" w:hAnsi="Arial" w:cs="Arial"/>
          <w:b/>
          <w:bCs/>
          <w:color w:val="040D0A"/>
        </w:rPr>
        <w:t>. </w:t>
      </w:r>
      <w:r>
        <w:rPr>
          <w:rFonts w:ascii="Arial" w:hAnsi="Arial" w:cs="Arial"/>
          <w:color w:val="040D0A"/>
        </w:rPr>
        <w:t xml:space="preserve">Феодосийская картинная галерея имени И.К. Айвазовского — один из старейших, популярнейших музеев России и первая на юге страны публичная картинная галерея. Здесь побывали многие известные живописцы, музыканты, артисты, общественные деятели. Здание картинной галереи является памятником архитектуры, было построено по проекту И.К. Айвазовского в середине </w:t>
      </w:r>
      <w:proofErr w:type="spellStart"/>
      <w:r>
        <w:rPr>
          <w:rFonts w:ascii="Arial" w:hAnsi="Arial" w:cs="Arial"/>
          <w:color w:val="040D0A"/>
        </w:rPr>
        <w:t>Х</w:t>
      </w:r>
      <w:proofErr w:type="gramStart"/>
      <w:r>
        <w:rPr>
          <w:rFonts w:ascii="Arial" w:hAnsi="Arial" w:cs="Arial"/>
          <w:color w:val="040D0A"/>
        </w:rPr>
        <w:t>I</w:t>
      </w:r>
      <w:proofErr w:type="gramEnd"/>
      <w:r>
        <w:rPr>
          <w:rFonts w:ascii="Arial" w:hAnsi="Arial" w:cs="Arial"/>
          <w:color w:val="040D0A"/>
        </w:rPr>
        <w:t>Хв</w:t>
      </w:r>
      <w:proofErr w:type="spellEnd"/>
      <w:r>
        <w:rPr>
          <w:rFonts w:ascii="Arial" w:hAnsi="Arial" w:cs="Arial"/>
          <w:color w:val="040D0A"/>
        </w:rPr>
        <w:t>. Сегодня собрание галереи — это уникальный комплекс произведений живописи, графики, архивных документов и фотодокументов, мемориальных вещей и предметов декоративно-прикладного искусства — всего более 13 тысяч экспонатов.</w:t>
      </w:r>
    </w:p>
    <w:p w:rsidR="00BC3C6B" w:rsidRDefault="00BC3C6B" w:rsidP="00BC3C6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Посещение Дачи </w:t>
      </w:r>
      <w:proofErr w:type="spellStart"/>
      <w:r>
        <w:rPr>
          <w:rFonts w:ascii="Arial" w:hAnsi="Arial" w:cs="Arial"/>
          <w:b/>
          <w:bCs/>
          <w:color w:val="040D0A"/>
        </w:rPr>
        <w:t>Стамболи</w:t>
      </w:r>
      <w:proofErr w:type="spellEnd"/>
      <w:r>
        <w:rPr>
          <w:rFonts w:ascii="Arial" w:hAnsi="Arial" w:cs="Arial"/>
          <w:color w:val="040D0A"/>
        </w:rPr>
        <w:t xml:space="preserve"> - это памятник культурного наследия. Дворец был построен по заказу местного табачного магната </w:t>
      </w:r>
      <w:proofErr w:type="spellStart"/>
      <w:r>
        <w:rPr>
          <w:rFonts w:ascii="Arial" w:hAnsi="Arial" w:cs="Arial"/>
          <w:color w:val="040D0A"/>
        </w:rPr>
        <w:t>И.В.Стамболи</w:t>
      </w:r>
      <w:proofErr w:type="spellEnd"/>
      <w:r>
        <w:rPr>
          <w:rFonts w:ascii="Arial" w:hAnsi="Arial" w:cs="Arial"/>
          <w:color w:val="040D0A"/>
        </w:rPr>
        <w:t>, который он преподнёс своей прекрасной супруге Рахили к десятилетней годовщине их совместной жизни.</w:t>
      </w:r>
    </w:p>
    <w:p w:rsidR="00BC3C6B" w:rsidRDefault="00BC3C6B" w:rsidP="00BC3C6B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Размещение в гостинице Феодосия. Ужин в гостинице. Отдых.</w:t>
      </w:r>
    </w:p>
    <w:p w:rsidR="00BC3C6B" w:rsidRDefault="00BC3C6B" w:rsidP="00BC3C6B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02.05.20 / 2 день / Тропой Голицына  (Судак – Новый Свет)</w:t>
      </w:r>
      <w:r>
        <w:rPr>
          <w:rFonts w:ascii="Arial" w:hAnsi="Arial" w:cs="Arial"/>
          <w:color w:val="040D0A"/>
        </w:rPr>
        <w:br/>
      </w:r>
    </w:p>
    <w:p w:rsidR="00BC3C6B" w:rsidRDefault="00BC3C6B" w:rsidP="00BC3C6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Завтрак в гостинице. Отправление на экскурсию в </w:t>
      </w:r>
      <w:proofErr w:type="spellStart"/>
      <w:r>
        <w:rPr>
          <w:rFonts w:ascii="Arial" w:hAnsi="Arial" w:cs="Arial"/>
          <w:b/>
          <w:bCs/>
          <w:color w:val="040D0A"/>
        </w:rPr>
        <w:t>г</w:t>
      </w:r>
      <w:proofErr w:type="gramStart"/>
      <w:r>
        <w:rPr>
          <w:rFonts w:ascii="Arial" w:hAnsi="Arial" w:cs="Arial"/>
          <w:b/>
          <w:bCs/>
          <w:color w:val="040D0A"/>
        </w:rPr>
        <w:t>.С</w:t>
      </w:r>
      <w:proofErr w:type="gramEnd"/>
      <w:r>
        <w:rPr>
          <w:rFonts w:ascii="Arial" w:hAnsi="Arial" w:cs="Arial"/>
          <w:b/>
          <w:bCs/>
          <w:color w:val="040D0A"/>
        </w:rPr>
        <w:t>удак</w:t>
      </w:r>
      <w:proofErr w:type="spellEnd"/>
      <w:r>
        <w:rPr>
          <w:rFonts w:ascii="Arial" w:hAnsi="Arial" w:cs="Arial"/>
          <w:color w:val="040D0A"/>
        </w:rPr>
        <w:t xml:space="preserve"> - знаменитый ранее,  как один из важных торговых центров известного Шелкового Пути. Экскурсия в </w:t>
      </w:r>
      <w:proofErr w:type="spellStart"/>
      <w:r>
        <w:rPr>
          <w:rFonts w:ascii="Arial" w:hAnsi="Arial" w:cs="Arial"/>
          <w:color w:val="040D0A"/>
        </w:rPr>
        <w:t>Судакскую</w:t>
      </w:r>
      <w:proofErr w:type="spellEnd"/>
      <w:r>
        <w:rPr>
          <w:rFonts w:ascii="Arial" w:hAnsi="Arial" w:cs="Arial"/>
          <w:color w:val="040D0A"/>
        </w:rPr>
        <w:t xml:space="preserve"> крепость - памятник уникальный, сооружена крепость в XIV-XV веках на вершине конусообразной горы, круто обрывающейся к морю. Над обрывистыми скалами на горе Крепостная возвышается каменная Генуэзская крепость, гордость Судака, его визитная карточка и бесценная жемчужина. Благодаря своему удачному расположению и мощным оборонительным укреплениям </w:t>
      </w:r>
      <w:proofErr w:type="spellStart"/>
      <w:r>
        <w:rPr>
          <w:rFonts w:ascii="Arial" w:hAnsi="Arial" w:cs="Arial"/>
          <w:color w:val="040D0A"/>
        </w:rPr>
        <w:t>Судакская</w:t>
      </w:r>
      <w:proofErr w:type="spellEnd"/>
      <w:r>
        <w:rPr>
          <w:rFonts w:ascii="Arial" w:hAnsi="Arial" w:cs="Arial"/>
          <w:color w:val="040D0A"/>
        </w:rPr>
        <w:t xml:space="preserve"> крепость считалась практически неприступной. О её былой мощи и величии свидетельствуют главные ворота, 12 башен, храм-мечеть, храм 12 апостолов, склад и развалины казарм.</w:t>
      </w:r>
    </w:p>
    <w:p w:rsidR="00BC3C6B" w:rsidRDefault="00BC3C6B" w:rsidP="00BC3C6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Посещение курортного посёлка Новый Свет </w:t>
      </w:r>
      <w:r>
        <w:rPr>
          <w:rFonts w:ascii="Arial" w:hAnsi="Arial" w:cs="Arial"/>
          <w:color w:val="040D0A"/>
        </w:rPr>
        <w:t>– без преувеличения, один из самых красивых курортов Крыма. Природа этих мест неподражаема, в Новом Свете гостя не покидает ощущение, будто он находится на другой планете: удивительного цвета и форм скалы, причудливые сосны и можжевельники, искрящаяся лазурь Чёрного моря. </w:t>
      </w:r>
    </w:p>
    <w:p w:rsidR="00BC3C6B" w:rsidRDefault="00BC3C6B" w:rsidP="00BC3C6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Прогулка по живописной бухте посёлка Новый Свет.</w:t>
      </w:r>
      <w:r>
        <w:rPr>
          <w:rFonts w:ascii="Arial" w:hAnsi="Arial" w:cs="Arial"/>
          <w:color w:val="040D0A"/>
        </w:rPr>
        <w:t>  </w:t>
      </w:r>
    </w:p>
    <w:p w:rsidR="00BC3C6B" w:rsidRDefault="00BC3C6B" w:rsidP="00BC3C6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Прогулка по тропе Голицына</w:t>
      </w:r>
      <w:r>
        <w:rPr>
          <w:rFonts w:ascii="Arial" w:hAnsi="Arial" w:cs="Arial"/>
          <w:color w:val="040D0A"/>
        </w:rPr>
        <w:t xml:space="preserve"> - проходит от курортного поселка Новый Свет к мысу </w:t>
      </w:r>
      <w:proofErr w:type="spellStart"/>
      <w:r>
        <w:rPr>
          <w:rFonts w:ascii="Arial" w:hAnsi="Arial" w:cs="Arial"/>
          <w:color w:val="040D0A"/>
        </w:rPr>
        <w:t>Капчик</w:t>
      </w:r>
      <w:proofErr w:type="spellEnd"/>
      <w:r>
        <w:rPr>
          <w:rFonts w:ascii="Arial" w:hAnsi="Arial" w:cs="Arial"/>
          <w:color w:val="040D0A"/>
        </w:rPr>
        <w:t xml:space="preserve"> со стороны моря. Тропа была укреплена и благоустроена князем Л.С. Голицыным и проходила через один из гротов с запасами выдержанного шампанского. </w:t>
      </w:r>
      <w:proofErr w:type="spellStart"/>
      <w:r>
        <w:rPr>
          <w:rFonts w:ascii="Arial" w:hAnsi="Arial" w:cs="Arial"/>
          <w:color w:val="040D0A"/>
        </w:rPr>
        <w:t>Голицынская</w:t>
      </w:r>
      <w:proofErr w:type="spellEnd"/>
      <w:r>
        <w:rPr>
          <w:rFonts w:ascii="Arial" w:hAnsi="Arial" w:cs="Arial"/>
          <w:color w:val="040D0A"/>
        </w:rPr>
        <w:t xml:space="preserve"> тропа поднимается по горе Орел, </w:t>
      </w:r>
      <w:proofErr w:type="gramStart"/>
      <w:r>
        <w:rPr>
          <w:rFonts w:ascii="Arial" w:hAnsi="Arial" w:cs="Arial"/>
          <w:color w:val="040D0A"/>
        </w:rPr>
        <w:t>огибая мыс и приводит на обрывы</w:t>
      </w:r>
      <w:proofErr w:type="gramEnd"/>
      <w:r>
        <w:rPr>
          <w:rFonts w:ascii="Arial" w:hAnsi="Arial" w:cs="Arial"/>
          <w:color w:val="040D0A"/>
        </w:rPr>
        <w:t xml:space="preserve"> горы </w:t>
      </w:r>
      <w:proofErr w:type="spellStart"/>
      <w:r>
        <w:rPr>
          <w:rFonts w:ascii="Arial" w:hAnsi="Arial" w:cs="Arial"/>
          <w:color w:val="040D0A"/>
        </w:rPr>
        <w:t>Хоба</w:t>
      </w:r>
      <w:proofErr w:type="spellEnd"/>
      <w:r>
        <w:rPr>
          <w:rFonts w:ascii="Arial" w:hAnsi="Arial" w:cs="Arial"/>
          <w:color w:val="040D0A"/>
        </w:rPr>
        <w:t>-Кая, где причудливые нагромождения скал напоминают некое фантастическое царство.  Общая ее протяженность – около 3 км.  Свежий черноморский воздух, необычайной красоты виды и удивительная история этого места не оставят равнодушными побывавшего здесь.</w:t>
      </w:r>
    </w:p>
    <w:p w:rsidR="00BC3C6B" w:rsidRDefault="00BC3C6B" w:rsidP="00BC3C6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Экскурсия на завод шампанских вин «Новый Свет» и дегустация.</w:t>
      </w:r>
    </w:p>
    <w:p w:rsidR="00BC3C6B" w:rsidRDefault="00BC3C6B" w:rsidP="00BC3C6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Это интересное путешествие по старинным княжеским подвалам.</w:t>
      </w:r>
      <w:r>
        <w:rPr>
          <w:rFonts w:ascii="Arial" w:hAnsi="Arial" w:cs="Arial"/>
          <w:color w:val="040D0A"/>
        </w:rPr>
        <w:t xml:space="preserve"> Вас познакомят с историей создания шампанского. Вы посетите образцовый тоннель со знаменитой коллекцией вин — </w:t>
      </w:r>
      <w:proofErr w:type="spellStart"/>
      <w:r>
        <w:rPr>
          <w:rFonts w:ascii="Arial" w:hAnsi="Arial" w:cs="Arial"/>
          <w:color w:val="040D0A"/>
        </w:rPr>
        <w:t>энотеку</w:t>
      </w:r>
      <w:proofErr w:type="spellEnd"/>
      <w:r>
        <w:rPr>
          <w:rFonts w:ascii="Arial" w:hAnsi="Arial" w:cs="Arial"/>
          <w:color w:val="040D0A"/>
        </w:rPr>
        <w:t>, где собраны лучшие образцы вин ведущих мировых производителей. Умелые мастера дегустаторы проведут профессиональную дегустацию 6 образцов крымского шампанского и игристого вина.</w:t>
      </w:r>
    </w:p>
    <w:p w:rsidR="00BC3C6B" w:rsidRDefault="00BC3C6B" w:rsidP="00BC3C6B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Возвращение в Феодосию. Ужин в гостинице. Свободное время.</w:t>
      </w:r>
    </w:p>
    <w:p w:rsidR="00BC3C6B" w:rsidRDefault="00BC3C6B" w:rsidP="00BC3C6B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03.05.20 / 3 день / Старый Крым – первая столица Крымского ханства</w:t>
      </w:r>
      <w:r>
        <w:rPr>
          <w:rFonts w:ascii="Arial" w:hAnsi="Arial" w:cs="Arial"/>
          <w:color w:val="040D0A"/>
        </w:rPr>
        <w:br/>
      </w:r>
    </w:p>
    <w:p w:rsidR="00BC3C6B" w:rsidRDefault="00BC3C6B" w:rsidP="00BC3C6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Завтрак в гостинице. Освобождение номеров.</w:t>
      </w:r>
      <w:r>
        <w:rPr>
          <w:rFonts w:ascii="Arial" w:hAnsi="Arial" w:cs="Arial"/>
          <w:color w:val="040D0A"/>
        </w:rPr>
        <w:t> </w:t>
      </w:r>
    </w:p>
    <w:p w:rsidR="00BC3C6B" w:rsidRDefault="00BC3C6B" w:rsidP="00BC3C6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lastRenderedPageBreak/>
        <w:t>Переезд к Генуэзской крепости в Феодосии. </w:t>
      </w:r>
      <w:r>
        <w:rPr>
          <w:rFonts w:ascii="Arial" w:hAnsi="Arial" w:cs="Arial"/>
          <w:color w:val="040D0A"/>
        </w:rPr>
        <w:t xml:space="preserve">Генуэзская крепость - средневековые укрепления, построенные Генуэзской республикой в XIV веке для обороны своего крупнейшего владения в Крыму. Историко-архитектурный заповедник «Генуэзская крепость Кафа» расположена на берегу Феодосийского залива в южной части города. Осмотр Башни Святого Климента и </w:t>
      </w:r>
      <w:proofErr w:type="spellStart"/>
      <w:r>
        <w:rPr>
          <w:rFonts w:ascii="Arial" w:hAnsi="Arial" w:cs="Arial"/>
          <w:color w:val="040D0A"/>
        </w:rPr>
        <w:t>Криско</w:t>
      </w:r>
      <w:proofErr w:type="spellEnd"/>
      <w:r>
        <w:rPr>
          <w:rFonts w:ascii="Arial" w:hAnsi="Arial" w:cs="Arial"/>
          <w:color w:val="040D0A"/>
        </w:rPr>
        <w:t>, остатки крепостной стены и церковь Иоанна Предтечи.</w:t>
      </w:r>
    </w:p>
    <w:p w:rsidR="00BC3C6B" w:rsidRDefault="00BC3C6B" w:rsidP="00BC3C6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Выезд на экскурсию в г. Старый Крым</w:t>
      </w:r>
      <w:r>
        <w:rPr>
          <w:rFonts w:ascii="Arial" w:hAnsi="Arial" w:cs="Arial"/>
          <w:color w:val="040D0A"/>
        </w:rPr>
        <w:t> – первую столицу Крымского ханства, небольшой старинный крымский городок, давший название всему полуострову. </w:t>
      </w:r>
    </w:p>
    <w:p w:rsidR="00BC3C6B" w:rsidRDefault="00BC3C6B" w:rsidP="00BC3C6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Посещение мужского армянского монастыря </w:t>
      </w:r>
      <w:proofErr w:type="spellStart"/>
      <w:r>
        <w:rPr>
          <w:rFonts w:ascii="Arial" w:hAnsi="Arial" w:cs="Arial"/>
          <w:b/>
          <w:bCs/>
          <w:color w:val="040D0A"/>
        </w:rPr>
        <w:t>Сурб</w:t>
      </w:r>
      <w:proofErr w:type="spellEnd"/>
      <w:r>
        <w:rPr>
          <w:rFonts w:ascii="Arial" w:hAnsi="Arial" w:cs="Arial"/>
          <w:b/>
          <w:bCs/>
          <w:color w:val="040D0A"/>
        </w:rPr>
        <w:t>-Хач</w:t>
      </w:r>
      <w:r>
        <w:rPr>
          <w:rFonts w:ascii="Arial" w:hAnsi="Arial" w:cs="Arial"/>
          <w:color w:val="040D0A"/>
        </w:rPr>
        <w:t xml:space="preserve">, который входит в число самых известных святынь Крыма. Монастырский комплекс расположен на северо-западном склоне горы Святого Креста (Грызя, </w:t>
      </w:r>
      <w:proofErr w:type="gramStart"/>
      <w:r>
        <w:rPr>
          <w:rFonts w:ascii="Arial" w:hAnsi="Arial" w:cs="Arial"/>
          <w:color w:val="040D0A"/>
        </w:rPr>
        <w:t>Монастырская</w:t>
      </w:r>
      <w:proofErr w:type="gramEnd"/>
      <w:r>
        <w:rPr>
          <w:rFonts w:ascii="Arial" w:hAnsi="Arial" w:cs="Arial"/>
          <w:color w:val="040D0A"/>
        </w:rPr>
        <w:t xml:space="preserve">), откуда открывается хороший обзор на необыкновенно красивый ландшафт </w:t>
      </w:r>
      <w:proofErr w:type="spellStart"/>
      <w:r>
        <w:rPr>
          <w:rFonts w:ascii="Arial" w:hAnsi="Arial" w:cs="Arial"/>
          <w:color w:val="040D0A"/>
        </w:rPr>
        <w:t>Старокрымской</w:t>
      </w:r>
      <w:proofErr w:type="spellEnd"/>
      <w:r>
        <w:rPr>
          <w:rFonts w:ascii="Arial" w:hAnsi="Arial" w:cs="Arial"/>
          <w:color w:val="040D0A"/>
        </w:rPr>
        <w:t xml:space="preserve"> долины. Скит уникален, прежде всего, тем, что является единственной святой обителью Апостольской Армянской Церкви 14 – 19 вв. на крымской земле и в этом удивительном месте царит особая атмосфера. Из старой застройки разных периодов времени здесь можно увидеть следующие объекты: здание первой церкви 14 в., братский корпус 17 в., трапезную 18 в., а также башню с притвором 17 в., фонтаны конца 18 – начала 19 вв. и ряд хозяйственных строений. Все строения гармонично дополняют друг друга, и единство комплекса создает впечатление, что их строили одновременно. </w:t>
      </w:r>
    </w:p>
    <w:p w:rsidR="00BC3C6B" w:rsidRDefault="00BC3C6B" w:rsidP="00BC3C6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Известность монастырю также принесла икона «Моргающий Иисус»</w:t>
      </w:r>
      <w:r>
        <w:rPr>
          <w:rFonts w:ascii="Arial" w:hAnsi="Arial" w:cs="Arial"/>
          <w:color w:val="040D0A"/>
        </w:rPr>
        <w:t>. Особенность иконы заключается в том, что каждый человек видит взгляд Спасителя по-разному: для одних его глаза закрыты, другие же утверждают, что Христос изображен с открытыми глазами, а кто-то видит веки Спасителя, наполненные кровью и слезами.</w:t>
      </w:r>
    </w:p>
    <w:p w:rsidR="00BC3C6B" w:rsidRDefault="00BC3C6B" w:rsidP="00BC3C6B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Выезд в Краснодар. Ориентировочное время прибытия в Краснодар 22:00.</w:t>
      </w:r>
    </w:p>
    <w:p w:rsidR="00BC3C6B" w:rsidRDefault="00BC3C6B" w:rsidP="00BC3C6B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>
        <w:rPr>
          <w:rFonts w:ascii="Arial" w:hAnsi="Arial" w:cs="Arial"/>
          <w:b/>
          <w:bCs/>
          <w:caps/>
          <w:color w:val="040D0A"/>
          <w:sz w:val="30"/>
          <w:szCs w:val="30"/>
        </w:rPr>
        <w:t>СТОИМОСТЬ ТУРА</w:t>
      </w:r>
    </w:p>
    <w:tbl>
      <w:tblPr>
        <w:tblW w:w="10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2542"/>
        <w:gridCol w:w="3500"/>
        <w:gridCol w:w="1709"/>
      </w:tblGrid>
      <w:tr w:rsidR="00BC3C6B" w:rsidTr="00BC3C6B"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6577B">
            <w:pPr>
              <w:pStyle w:val="af1"/>
              <w:spacing w:before="0" w:after="0"/>
              <w:jc w:val="center"/>
              <w:rPr>
                <w:color w:val="FFFFFF"/>
              </w:rPr>
            </w:pPr>
            <w:hyperlink r:id="rId8" w:history="1">
              <w:r w:rsidR="00BC3C6B">
                <w:rPr>
                  <w:rStyle w:val="aff7"/>
                  <w:b/>
                  <w:bCs/>
                  <w:color w:val="000000"/>
                </w:rPr>
                <w:t>Отель "Феодосия"</w:t>
              </w:r>
            </w:hyperlink>
          </w:p>
          <w:p w:rsidR="00BC3C6B" w:rsidRDefault="00BC3C6B">
            <w:pPr>
              <w:pStyle w:val="af1"/>
              <w:spacing w:before="0" w:after="0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(г. Феодосия)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2-х местный стандартный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2-х местный стандартный улучшенный</w:t>
            </w:r>
          </w:p>
        </w:tc>
        <w:tc>
          <w:tcPr>
            <w:tcW w:w="1709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Одноместный номер</w:t>
            </w:r>
          </w:p>
        </w:tc>
      </w:tr>
      <w:tr w:rsidR="00BC3C6B" w:rsidTr="00BC3C6B"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Стоимость тура с человека в рублях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8 500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9 500</w:t>
            </w:r>
          </w:p>
        </w:tc>
        <w:tc>
          <w:tcPr>
            <w:tcW w:w="1709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9 000</w:t>
            </w:r>
          </w:p>
        </w:tc>
      </w:tr>
      <w:tr w:rsidR="00BC3C6B" w:rsidTr="00BC3C6B"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8 000</w:t>
            </w:r>
          </w:p>
        </w:tc>
        <w:tc>
          <w:tcPr>
            <w:tcW w:w="1709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3C6B" w:rsidRDefault="00BC3C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C3C6B" w:rsidRDefault="00BC3C6B" w:rsidP="00BC3C6B">
      <w:pPr>
        <w:shd w:val="clear" w:color="auto" w:fill="FFFFFF"/>
        <w:spacing w:line="240" w:lineRule="auto"/>
        <w:rPr>
          <w:rFonts w:ascii="Arial" w:hAnsi="Arial" w:cs="Arial"/>
          <w:color w:val="040D0A"/>
          <w:sz w:val="24"/>
          <w:szCs w:val="24"/>
        </w:rPr>
      </w:pPr>
    </w:p>
    <w:p w:rsidR="00BC3C6B" w:rsidRDefault="00BC3C6B" w:rsidP="00BC3C6B">
      <w:pPr>
        <w:shd w:val="clear" w:color="auto" w:fill="FFFFFF"/>
        <w:rPr>
          <w:rFonts w:ascii="Arial" w:hAnsi="Arial" w:cs="Arial"/>
          <w:b/>
          <w:bCs/>
          <w:color w:val="017400"/>
          <w:sz w:val="27"/>
          <w:szCs w:val="27"/>
        </w:rPr>
      </w:pPr>
      <w:r>
        <w:rPr>
          <w:rFonts w:ascii="Arial" w:hAnsi="Arial" w:cs="Arial"/>
          <w:b/>
          <w:bCs/>
          <w:color w:val="017400"/>
          <w:sz w:val="27"/>
          <w:szCs w:val="27"/>
        </w:rPr>
        <w:t>В стоимость входит:</w:t>
      </w:r>
    </w:p>
    <w:p w:rsidR="00BC3C6B" w:rsidRDefault="00BC3C6B" w:rsidP="00BC3C6B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color w:val="040D0A"/>
        </w:rPr>
        <w:t>Проезд на автобусе</w:t>
      </w:r>
    </w:p>
    <w:p w:rsidR="00BC3C6B" w:rsidRDefault="00BC3C6B" w:rsidP="00BC3C6B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Проживание</w:t>
      </w:r>
    </w:p>
    <w:p w:rsidR="00BC3C6B" w:rsidRDefault="00BC3C6B" w:rsidP="00BC3C6B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Питание (</w:t>
      </w:r>
      <w:proofErr w:type="gramStart"/>
      <w:r>
        <w:rPr>
          <w:rFonts w:ascii="Arial" w:hAnsi="Arial" w:cs="Arial"/>
          <w:color w:val="040D0A"/>
        </w:rPr>
        <w:t>согласно программы</w:t>
      </w:r>
      <w:proofErr w:type="gramEnd"/>
      <w:r>
        <w:rPr>
          <w:rFonts w:ascii="Arial" w:hAnsi="Arial" w:cs="Arial"/>
          <w:color w:val="040D0A"/>
        </w:rPr>
        <w:t>)</w:t>
      </w:r>
    </w:p>
    <w:p w:rsidR="00BC3C6B" w:rsidRDefault="00BC3C6B" w:rsidP="00BC3C6B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Экскурсионное обслуживание</w:t>
      </w:r>
    </w:p>
    <w:p w:rsidR="00BC3C6B" w:rsidRDefault="00BC3C6B" w:rsidP="00BC3C6B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Страховка</w:t>
      </w:r>
    </w:p>
    <w:p w:rsidR="00BC3C6B" w:rsidRDefault="00BC3C6B" w:rsidP="00BC3C6B">
      <w:pPr>
        <w:shd w:val="clear" w:color="auto" w:fill="FFFFFF"/>
        <w:spacing w:after="0"/>
        <w:rPr>
          <w:rFonts w:ascii="Arial" w:hAnsi="Arial" w:cs="Arial"/>
          <w:b/>
          <w:bCs/>
          <w:color w:val="C74747"/>
          <w:sz w:val="27"/>
          <w:szCs w:val="27"/>
        </w:rPr>
      </w:pPr>
      <w:r>
        <w:rPr>
          <w:rFonts w:ascii="Arial" w:hAnsi="Arial" w:cs="Arial"/>
          <w:b/>
          <w:bCs/>
          <w:color w:val="C74747"/>
          <w:sz w:val="27"/>
          <w:szCs w:val="27"/>
        </w:rPr>
        <w:t>Дополнительно оплачивается:</w:t>
      </w:r>
    </w:p>
    <w:p w:rsidR="00BC3C6B" w:rsidRDefault="00BC3C6B" w:rsidP="00BC3C6B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color w:val="040D0A"/>
        </w:rPr>
        <w:t xml:space="preserve">Картинная галерея </w:t>
      </w:r>
      <w:proofErr w:type="spellStart"/>
      <w:r>
        <w:rPr>
          <w:rFonts w:ascii="Arial" w:hAnsi="Arial" w:cs="Arial"/>
          <w:color w:val="040D0A"/>
        </w:rPr>
        <w:t>И.К.Айвазовского</w:t>
      </w:r>
      <w:proofErr w:type="spellEnd"/>
      <w:r>
        <w:rPr>
          <w:rFonts w:ascii="Arial" w:hAnsi="Arial" w:cs="Arial"/>
          <w:color w:val="040D0A"/>
        </w:rPr>
        <w:t>: 350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50 детск., 250 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250 студ.</w:t>
      </w:r>
    </w:p>
    <w:p w:rsidR="00BC3C6B" w:rsidRDefault="00BC3C6B" w:rsidP="00BC3C6B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Дача </w:t>
      </w:r>
      <w:proofErr w:type="spellStart"/>
      <w:r>
        <w:rPr>
          <w:rFonts w:ascii="Arial" w:hAnsi="Arial" w:cs="Arial"/>
          <w:color w:val="040D0A"/>
        </w:rPr>
        <w:t>Стамболи</w:t>
      </w:r>
      <w:proofErr w:type="spellEnd"/>
      <w:r>
        <w:rPr>
          <w:rFonts w:ascii="Arial" w:hAnsi="Arial" w:cs="Arial"/>
          <w:color w:val="040D0A"/>
        </w:rPr>
        <w:t>: 200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100 руб./детск., 150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200 руб./студ.</w:t>
      </w:r>
    </w:p>
    <w:p w:rsidR="00BC3C6B" w:rsidRDefault="00BC3C6B" w:rsidP="00BC3C6B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proofErr w:type="spellStart"/>
      <w:proofErr w:type="gramStart"/>
      <w:r>
        <w:rPr>
          <w:rFonts w:ascii="Arial" w:hAnsi="Arial" w:cs="Arial"/>
          <w:color w:val="040D0A"/>
        </w:rPr>
        <w:lastRenderedPageBreak/>
        <w:t>Судакская</w:t>
      </w:r>
      <w:proofErr w:type="spellEnd"/>
      <w:r>
        <w:rPr>
          <w:rFonts w:ascii="Arial" w:hAnsi="Arial" w:cs="Arial"/>
          <w:color w:val="040D0A"/>
        </w:rPr>
        <w:t xml:space="preserve"> крепость: 250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50 руб./детск., 150 руб./пенс., 150 руб./студ.</w:t>
      </w:r>
      <w:proofErr w:type="gramEnd"/>
    </w:p>
    <w:p w:rsidR="00BC3C6B" w:rsidRDefault="00BC3C6B" w:rsidP="00BC3C6B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Экскурсия и дегустация Новый Свет: 700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700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700 руб./студ.</w:t>
      </w:r>
    </w:p>
    <w:p w:rsidR="00BC3C6B" w:rsidRDefault="00BC3C6B" w:rsidP="00BC3C6B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proofErr w:type="gramStart"/>
      <w:r>
        <w:rPr>
          <w:rFonts w:ascii="Arial" w:hAnsi="Arial" w:cs="Arial"/>
          <w:color w:val="040D0A"/>
        </w:rPr>
        <w:t>Тропа Голицына: 200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100 руб./детск., 200 руб./пенс., 200 руб./студ.</w:t>
      </w:r>
      <w:proofErr w:type="gramEnd"/>
    </w:p>
    <w:p w:rsidR="00BC3C6B" w:rsidRDefault="00BC3C6B" w:rsidP="00BC3C6B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Монастырь </w:t>
      </w:r>
      <w:proofErr w:type="spellStart"/>
      <w:r>
        <w:rPr>
          <w:rFonts w:ascii="Arial" w:hAnsi="Arial" w:cs="Arial"/>
          <w:color w:val="040D0A"/>
        </w:rPr>
        <w:t>Сурб</w:t>
      </w:r>
      <w:proofErr w:type="spellEnd"/>
      <w:r>
        <w:rPr>
          <w:rFonts w:ascii="Arial" w:hAnsi="Arial" w:cs="Arial"/>
          <w:color w:val="040D0A"/>
        </w:rPr>
        <w:t>-Хач: 100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100 руб./детск., 100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100 руб./студ.</w:t>
      </w:r>
    </w:p>
    <w:p w:rsidR="00BC3C6B" w:rsidRDefault="00BC3C6B" w:rsidP="00BC3C6B">
      <w:pPr>
        <w:shd w:val="clear" w:color="auto" w:fill="FFFFFF"/>
        <w:spacing w:after="0" w:line="240" w:lineRule="atLeast"/>
        <w:rPr>
          <w:rFonts w:ascii="Arial" w:hAnsi="Arial" w:cs="Arial"/>
          <w:color w:val="040D0A"/>
          <w:sz w:val="21"/>
          <w:szCs w:val="21"/>
        </w:rPr>
      </w:pPr>
      <w:proofErr w:type="gramStart"/>
      <w:r>
        <w:rPr>
          <w:rFonts w:ascii="Arial" w:hAnsi="Arial" w:cs="Arial"/>
          <w:color w:val="040D0A"/>
          <w:sz w:val="21"/>
          <w:szCs w:val="21"/>
        </w:rPr>
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</w:t>
      </w:r>
      <w:proofErr w:type="gramEnd"/>
      <w:r>
        <w:rPr>
          <w:rFonts w:ascii="Arial" w:hAnsi="Arial" w:cs="Arial"/>
          <w:color w:val="040D0A"/>
          <w:sz w:val="21"/>
          <w:szCs w:val="21"/>
        </w:rPr>
        <w:t xml:space="preserve"> *Фирма не несет ответственность за изменения стоимости дополнительных оплат по маршруту!</w:t>
      </w:r>
    </w:p>
    <w:p w:rsidR="000A1573" w:rsidRDefault="000A1573" w:rsidP="00BC3C6B">
      <w:pPr>
        <w:rPr>
          <w:rFonts w:ascii="Arial" w:hAnsi="Arial" w:cs="Arial"/>
          <w:color w:val="040D0A"/>
        </w:rPr>
      </w:pPr>
    </w:p>
    <w:sectPr w:rsidR="000A1573" w:rsidSect="00BC3C6B">
      <w:headerReference w:type="default" r:id="rId9"/>
      <w:pgSz w:w="11906" w:h="16838"/>
      <w:pgMar w:top="478" w:right="991" w:bottom="180" w:left="709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5" w:rsidRDefault="005743FD">
      <w:r>
        <w:separator/>
      </w:r>
    </w:p>
  </w:endnote>
  <w:endnote w:type="continuationSeparator" w:id="0">
    <w:p w:rsidR="00C143A5" w:rsidRDefault="005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5" w:rsidRDefault="005743FD">
      <w:r>
        <w:separator/>
      </w:r>
    </w:p>
  </w:footnote>
  <w:footnote w:type="continuationSeparator" w:id="0">
    <w:p w:rsidR="00C143A5" w:rsidRDefault="0057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704"/>
      <w:gridCol w:w="8645"/>
    </w:tblGrid>
    <w:tr w:rsidR="00366142">
      <w:trPr>
        <w:trHeight w:val="694"/>
      </w:trPr>
      <w:tc>
        <w:tcPr>
          <w:tcW w:w="1702" w:type="dxa"/>
          <w:shd w:val="clear" w:color="auto" w:fill="auto"/>
        </w:tcPr>
        <w:p w:rsidR="00366142" w:rsidRDefault="005743FD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7620" wp14:anchorId="67B5C560" wp14:editId="4361DEB9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366142" w:rsidRDefault="005743FD">
          <w:pPr>
            <w:jc w:val="center"/>
            <w:rPr>
              <w:rFonts w:ascii="Arial" w:hAnsi="Arial" w:cs="Arial"/>
              <w:b/>
              <w:bCs/>
              <w:color w:val="003399"/>
            </w:rPr>
          </w:pPr>
          <w:r>
            <w:rPr>
              <w:rFonts w:ascii="Arial" w:hAnsi="Arial" w:cs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366142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</w:rPr>
                  <w:t xml:space="preserve">168 168, т.м.+7 (918) 677 87 87,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</w:rPr>
                  <w:t>. +7 (988) 243 0 243</w:t>
                </w:r>
              </w:p>
            </w:tc>
          </w:tr>
        </w:tbl>
        <w:p w:rsidR="00366142" w:rsidRDefault="00B6577B">
          <w:pPr>
            <w:jc w:val="center"/>
          </w:pPr>
          <w:hyperlink r:id="rId2">
            <w:r w:rsidR="005743FD">
              <w:rPr>
                <w:rStyle w:val="ListLabel242"/>
              </w:rPr>
              <w:t>www</w:t>
            </w:r>
            <w:r w:rsidR="005743FD" w:rsidRPr="005743FD">
              <w:rPr>
                <w:rStyle w:val="ListLabel242"/>
                <w:lang w:val="ru-RU"/>
              </w:rPr>
              <w:t>.</w:t>
            </w:r>
            <w:proofErr w:type="spellStart"/>
            <w:r w:rsidR="005743FD">
              <w:rPr>
                <w:rStyle w:val="ListLabel242"/>
              </w:rPr>
              <w:t>anex</w:t>
            </w:r>
            <w:proofErr w:type="spellEnd"/>
            <w:r w:rsidR="005743FD" w:rsidRPr="005743FD">
              <w:rPr>
                <w:rStyle w:val="ListLabel242"/>
                <w:lang w:val="ru-RU"/>
              </w:rPr>
              <w:t>-</w:t>
            </w:r>
            <w:proofErr w:type="spellStart"/>
            <w:r w:rsidR="005743FD">
              <w:rPr>
                <w:rStyle w:val="ListLabel242"/>
              </w:rPr>
              <w:t>krasnodar</w:t>
            </w:r>
            <w:proofErr w:type="spellEnd"/>
            <w:r w:rsidR="005743FD" w:rsidRPr="005743FD">
              <w:rPr>
                <w:rStyle w:val="ListLabel242"/>
                <w:lang w:val="ru-RU"/>
              </w:rPr>
              <w:t>.</w:t>
            </w:r>
            <w:proofErr w:type="spellStart"/>
            <w:r w:rsidR="005743FD">
              <w:rPr>
                <w:rStyle w:val="ListLabel242"/>
              </w:rPr>
              <w:t>ru</w:t>
            </w:r>
            <w:proofErr w:type="spellEnd"/>
          </w:hyperlink>
          <w:r w:rsidR="005743FD">
            <w:rPr>
              <w:rFonts w:ascii="Arial" w:hAnsi="Arial" w:cs="Arial"/>
              <w:bCs/>
              <w:color w:val="003399"/>
            </w:rPr>
            <w:t xml:space="preserve">     </w:t>
          </w:r>
          <w:r w:rsidR="005743FD">
            <w:rPr>
              <w:rFonts w:ascii="Arial" w:hAnsi="Arial" w:cs="Arial"/>
              <w:b/>
              <w:bCs/>
              <w:color w:val="003399"/>
              <w:u w:val="single"/>
            </w:rPr>
            <w:t>отдыхатьхорошо.рф</w:t>
          </w:r>
        </w:p>
        <w:p w:rsidR="00366142" w:rsidRDefault="00B6577B">
          <w:pPr>
            <w:jc w:val="center"/>
          </w:pPr>
          <w:hyperlink r:id="rId3">
            <w:r w:rsidR="005743FD">
              <w:rPr>
                <w:rStyle w:val="ListLabel242"/>
              </w:rPr>
              <w:t>tury-krasnodar@yandex.ru</w:t>
            </w:r>
          </w:hyperlink>
        </w:p>
      </w:tc>
    </w:tr>
  </w:tbl>
  <w:p w:rsidR="00366142" w:rsidRDefault="0036614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B29"/>
    <w:multiLevelType w:val="multilevel"/>
    <w:tmpl w:val="6D1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2730"/>
    <w:multiLevelType w:val="multilevel"/>
    <w:tmpl w:val="45E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17F66"/>
    <w:multiLevelType w:val="multilevel"/>
    <w:tmpl w:val="7DE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73A66"/>
    <w:multiLevelType w:val="multilevel"/>
    <w:tmpl w:val="131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86E2B"/>
    <w:multiLevelType w:val="multilevel"/>
    <w:tmpl w:val="51A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A6DBD"/>
    <w:multiLevelType w:val="multilevel"/>
    <w:tmpl w:val="5D2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E40EFC"/>
    <w:multiLevelType w:val="multilevel"/>
    <w:tmpl w:val="2E3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BF7158"/>
    <w:multiLevelType w:val="multilevel"/>
    <w:tmpl w:val="F8903B6C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36EF4078"/>
    <w:multiLevelType w:val="multilevel"/>
    <w:tmpl w:val="0210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D06253"/>
    <w:multiLevelType w:val="multilevel"/>
    <w:tmpl w:val="873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91EC6"/>
    <w:multiLevelType w:val="multilevel"/>
    <w:tmpl w:val="9D1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9E2348"/>
    <w:multiLevelType w:val="multilevel"/>
    <w:tmpl w:val="5DB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7E27FE"/>
    <w:multiLevelType w:val="multilevel"/>
    <w:tmpl w:val="EB9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67B7A"/>
    <w:multiLevelType w:val="multilevel"/>
    <w:tmpl w:val="7E2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32A55"/>
    <w:multiLevelType w:val="multilevel"/>
    <w:tmpl w:val="74D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81D7A"/>
    <w:multiLevelType w:val="multilevel"/>
    <w:tmpl w:val="29C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5324D"/>
    <w:multiLevelType w:val="multilevel"/>
    <w:tmpl w:val="F23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96D85"/>
    <w:multiLevelType w:val="multilevel"/>
    <w:tmpl w:val="A552C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2"/>
    <w:rsid w:val="00035C6E"/>
    <w:rsid w:val="000613A7"/>
    <w:rsid w:val="000A1573"/>
    <w:rsid w:val="002573D2"/>
    <w:rsid w:val="00366142"/>
    <w:rsid w:val="005743FD"/>
    <w:rsid w:val="006D032E"/>
    <w:rsid w:val="0078336B"/>
    <w:rsid w:val="009F7355"/>
    <w:rsid w:val="00AB1655"/>
    <w:rsid w:val="00BC3C6B"/>
    <w:rsid w:val="00C143A5"/>
    <w:rsid w:val="00C552BA"/>
    <w:rsid w:val="00D53809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6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16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16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B16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B16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16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16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16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B16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4">
    <w:name w:val="Strong"/>
    <w:uiPriority w:val="22"/>
    <w:qFormat/>
    <w:rsid w:val="00AB1655"/>
    <w:rPr>
      <w:b/>
      <w:bCs/>
      <w:spacing w:val="0"/>
    </w:rPr>
  </w:style>
  <w:style w:type="character" w:styleId="a5">
    <w:name w:val="FollowedHyperlink"/>
    <w:rPr>
      <w:color w:val="800080"/>
      <w:u w:val="single"/>
    </w:rPr>
  </w:style>
  <w:style w:type="character" w:customStyle="1" w:styleId="t01">
    <w:name w:val="t01"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81000F"/>
  </w:style>
  <w:style w:type="character" w:customStyle="1" w:styleId="a6">
    <w:name w:val="Верхний колонтитул Знак"/>
    <w:rsid w:val="00314AF5"/>
    <w:rPr>
      <w:sz w:val="24"/>
      <w:szCs w:val="24"/>
    </w:rPr>
  </w:style>
  <w:style w:type="character" w:customStyle="1" w:styleId="a7">
    <w:name w:val="Нижний колонтитул Знак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character" w:customStyle="1" w:styleId="a8">
    <w:name w:val="Текст Знак"/>
    <w:basedOn w:val="a0"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s1">
    <w:name w:val="bs1"/>
    <w:rsid w:val="009D5083"/>
    <w:rPr>
      <w:color w:val="1A4780"/>
    </w:rPr>
  </w:style>
  <w:style w:type="character" w:customStyle="1" w:styleId="ed1">
    <w:name w:val="ed1"/>
    <w:rsid w:val="009D5083"/>
    <w:rPr>
      <w:i/>
      <w:iCs/>
    </w:rPr>
  </w:style>
  <w:style w:type="character" w:customStyle="1" w:styleId="gd1">
    <w:name w:val="gd1"/>
    <w:rsid w:val="009D5083"/>
    <w:rPr>
      <w:color w:val="006622"/>
    </w:rPr>
  </w:style>
  <w:style w:type="character" w:customStyle="1" w:styleId="rd1">
    <w:name w:val="rd1"/>
    <w:rsid w:val="009D5083"/>
    <w:rPr>
      <w:color w:val="77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color w:val="FF000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sz w:val="20"/>
    </w:rPr>
  </w:style>
  <w:style w:type="character" w:customStyle="1" w:styleId="ListLabel230">
    <w:name w:val="ListLabel 230"/>
    <w:rPr>
      <w:sz w:val="20"/>
    </w:rPr>
  </w:style>
  <w:style w:type="character" w:customStyle="1" w:styleId="ListLabel231">
    <w:name w:val="ListLabel 231"/>
    <w:rPr>
      <w:sz w:val="20"/>
    </w:rPr>
  </w:style>
  <w:style w:type="character" w:customStyle="1" w:styleId="ListLabel232">
    <w:name w:val="ListLabel 232"/>
    <w:rPr>
      <w:sz w:val="20"/>
    </w:rPr>
  </w:style>
  <w:style w:type="character" w:customStyle="1" w:styleId="ListLabel233">
    <w:name w:val="ListLabel 233"/>
    <w:rPr>
      <w:sz w:val="20"/>
    </w:rPr>
  </w:style>
  <w:style w:type="character" w:customStyle="1" w:styleId="ListLabel234">
    <w:name w:val="ListLabel 234"/>
    <w:rPr>
      <w:sz w:val="20"/>
    </w:rPr>
  </w:style>
  <w:style w:type="character" w:customStyle="1" w:styleId="ListLabel235">
    <w:name w:val="ListLabel 235"/>
    <w:rPr>
      <w:sz w:val="20"/>
    </w:rPr>
  </w:style>
  <w:style w:type="character" w:customStyle="1" w:styleId="ListLabel236">
    <w:name w:val="ListLabel 236"/>
    <w:rPr>
      <w:sz w:val="20"/>
    </w:rPr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  <w:rPr>
      <w:sz w:val="20"/>
    </w:rPr>
  </w:style>
  <w:style w:type="character" w:customStyle="1" w:styleId="ListLabel239">
    <w:name w:val="ListLabel 239"/>
    <w:rPr>
      <w:sz w:val="20"/>
    </w:rPr>
  </w:style>
  <w:style w:type="character" w:customStyle="1" w:styleId="ListLabel240">
    <w:name w:val="ListLabel 240"/>
    <w:rPr>
      <w:sz w:val="20"/>
    </w:rPr>
  </w:style>
  <w:style w:type="character" w:customStyle="1" w:styleId="ListLabel241">
    <w:name w:val="ListLabel 241"/>
    <w:rPr>
      <w:sz w:val="20"/>
    </w:rPr>
  </w:style>
  <w:style w:type="character" w:customStyle="1" w:styleId="ListLabel242">
    <w:name w:val="ListLabel 242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unhideWhenUsed/>
    <w:qFormat/>
    <w:rsid w:val="00AB1655"/>
    <w:rPr>
      <w:b/>
      <w:bCs/>
      <w:color w:val="943634" w:themeColor="accent2" w:themeShade="BF"/>
      <w:sz w:val="18"/>
      <w:szCs w:val="18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1">
    <w:name w:val="Body Text 2"/>
    <w:basedOn w:val="a"/>
    <w:rPr>
      <w:bCs/>
      <w:color w:val="000000"/>
      <w:sz w:val="28"/>
    </w:rPr>
  </w:style>
  <w:style w:type="paragraph" w:styleId="31">
    <w:name w:val="Body Text 3"/>
    <w:basedOn w:val="a"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B16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5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7">
    <w:name w:val="Plain Text"/>
    <w:basedOn w:val="a"/>
    <w:rsid w:val="0094285C"/>
    <w:rPr>
      <w:rFonts w:ascii="Courier New" w:hAnsi="Courier New"/>
      <w:lang w:val="x-none"/>
    </w:rPr>
  </w:style>
  <w:style w:type="paragraph" w:styleId="af8">
    <w:name w:val="No Spacing"/>
    <w:basedOn w:val="a"/>
    <w:uiPriority w:val="1"/>
    <w:qFormat/>
    <w:rsid w:val="00AB1655"/>
    <w:pPr>
      <w:spacing w:after="0" w:line="240" w:lineRule="auto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6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f4">
    <w:name w:val="Название Знак"/>
    <w:basedOn w:val="a0"/>
    <w:link w:val="af3"/>
    <w:uiPriority w:val="10"/>
    <w:rsid w:val="00AB16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B16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B16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e">
    <w:name w:val="List Paragraph"/>
    <w:basedOn w:val="a"/>
    <w:uiPriority w:val="34"/>
    <w:qFormat/>
    <w:rsid w:val="00AB16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655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1655"/>
    <w:rPr>
      <w:color w:val="943634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B16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1">
    <w:name w:val="Subtle Emphasis"/>
    <w:uiPriority w:val="19"/>
    <w:qFormat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2">
    <w:name w:val="Intense Emphasis"/>
    <w:uiPriority w:val="21"/>
    <w:qFormat/>
    <w:rsid w:val="00AB16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3">
    <w:name w:val="Subtle Reference"/>
    <w:uiPriority w:val="31"/>
    <w:qFormat/>
    <w:rsid w:val="00AB1655"/>
    <w:rPr>
      <w:i/>
      <w:iCs/>
      <w:smallCaps/>
      <w:color w:val="C0504D" w:themeColor="accent2"/>
      <w:u w:color="C0504D" w:themeColor="accent2"/>
    </w:rPr>
  </w:style>
  <w:style w:type="character" w:styleId="aff4">
    <w:name w:val="Intense Reference"/>
    <w:uiPriority w:val="32"/>
    <w:qFormat/>
    <w:rsid w:val="00AB1655"/>
    <w:rPr>
      <w:b/>
      <w:bCs/>
      <w:i/>
      <w:iCs/>
      <w:smallCaps/>
      <w:color w:val="C0504D" w:themeColor="accent2"/>
      <w:u w:color="C0504D" w:themeColor="accent2"/>
    </w:rPr>
  </w:style>
  <w:style w:type="character" w:styleId="aff5">
    <w:name w:val="Book Title"/>
    <w:uiPriority w:val="33"/>
    <w:qFormat/>
    <w:rsid w:val="00AB16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AB1655"/>
    <w:pPr>
      <w:outlineLvl w:val="9"/>
    </w:pPr>
    <w:rPr>
      <w:lang w:bidi="en-US"/>
    </w:rPr>
  </w:style>
  <w:style w:type="character" w:styleId="aff7">
    <w:name w:val="Hyperlink"/>
    <w:basedOn w:val="a0"/>
    <w:uiPriority w:val="99"/>
    <w:unhideWhenUsed/>
    <w:rsid w:val="000A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6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16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16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B16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B16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16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16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16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B16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4">
    <w:name w:val="Strong"/>
    <w:uiPriority w:val="22"/>
    <w:qFormat/>
    <w:rsid w:val="00AB1655"/>
    <w:rPr>
      <w:b/>
      <w:bCs/>
      <w:spacing w:val="0"/>
    </w:rPr>
  </w:style>
  <w:style w:type="character" w:styleId="a5">
    <w:name w:val="FollowedHyperlink"/>
    <w:rPr>
      <w:color w:val="800080"/>
      <w:u w:val="single"/>
    </w:rPr>
  </w:style>
  <w:style w:type="character" w:customStyle="1" w:styleId="t01">
    <w:name w:val="t01"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81000F"/>
  </w:style>
  <w:style w:type="character" w:customStyle="1" w:styleId="a6">
    <w:name w:val="Верхний колонтитул Знак"/>
    <w:rsid w:val="00314AF5"/>
    <w:rPr>
      <w:sz w:val="24"/>
      <w:szCs w:val="24"/>
    </w:rPr>
  </w:style>
  <w:style w:type="character" w:customStyle="1" w:styleId="a7">
    <w:name w:val="Нижний колонтитул Знак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character" w:customStyle="1" w:styleId="a8">
    <w:name w:val="Текст Знак"/>
    <w:basedOn w:val="a0"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s1">
    <w:name w:val="bs1"/>
    <w:rsid w:val="009D5083"/>
    <w:rPr>
      <w:color w:val="1A4780"/>
    </w:rPr>
  </w:style>
  <w:style w:type="character" w:customStyle="1" w:styleId="ed1">
    <w:name w:val="ed1"/>
    <w:rsid w:val="009D5083"/>
    <w:rPr>
      <w:i/>
      <w:iCs/>
    </w:rPr>
  </w:style>
  <w:style w:type="character" w:customStyle="1" w:styleId="gd1">
    <w:name w:val="gd1"/>
    <w:rsid w:val="009D5083"/>
    <w:rPr>
      <w:color w:val="006622"/>
    </w:rPr>
  </w:style>
  <w:style w:type="character" w:customStyle="1" w:styleId="rd1">
    <w:name w:val="rd1"/>
    <w:rsid w:val="009D5083"/>
    <w:rPr>
      <w:color w:val="77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color w:val="FF000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sz w:val="20"/>
    </w:rPr>
  </w:style>
  <w:style w:type="character" w:customStyle="1" w:styleId="ListLabel230">
    <w:name w:val="ListLabel 230"/>
    <w:rPr>
      <w:sz w:val="20"/>
    </w:rPr>
  </w:style>
  <w:style w:type="character" w:customStyle="1" w:styleId="ListLabel231">
    <w:name w:val="ListLabel 231"/>
    <w:rPr>
      <w:sz w:val="20"/>
    </w:rPr>
  </w:style>
  <w:style w:type="character" w:customStyle="1" w:styleId="ListLabel232">
    <w:name w:val="ListLabel 232"/>
    <w:rPr>
      <w:sz w:val="20"/>
    </w:rPr>
  </w:style>
  <w:style w:type="character" w:customStyle="1" w:styleId="ListLabel233">
    <w:name w:val="ListLabel 233"/>
    <w:rPr>
      <w:sz w:val="20"/>
    </w:rPr>
  </w:style>
  <w:style w:type="character" w:customStyle="1" w:styleId="ListLabel234">
    <w:name w:val="ListLabel 234"/>
    <w:rPr>
      <w:sz w:val="20"/>
    </w:rPr>
  </w:style>
  <w:style w:type="character" w:customStyle="1" w:styleId="ListLabel235">
    <w:name w:val="ListLabel 235"/>
    <w:rPr>
      <w:sz w:val="20"/>
    </w:rPr>
  </w:style>
  <w:style w:type="character" w:customStyle="1" w:styleId="ListLabel236">
    <w:name w:val="ListLabel 236"/>
    <w:rPr>
      <w:sz w:val="20"/>
    </w:rPr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  <w:rPr>
      <w:sz w:val="20"/>
    </w:rPr>
  </w:style>
  <w:style w:type="character" w:customStyle="1" w:styleId="ListLabel239">
    <w:name w:val="ListLabel 239"/>
    <w:rPr>
      <w:sz w:val="20"/>
    </w:rPr>
  </w:style>
  <w:style w:type="character" w:customStyle="1" w:styleId="ListLabel240">
    <w:name w:val="ListLabel 240"/>
    <w:rPr>
      <w:sz w:val="20"/>
    </w:rPr>
  </w:style>
  <w:style w:type="character" w:customStyle="1" w:styleId="ListLabel241">
    <w:name w:val="ListLabel 241"/>
    <w:rPr>
      <w:sz w:val="20"/>
    </w:rPr>
  </w:style>
  <w:style w:type="character" w:customStyle="1" w:styleId="ListLabel242">
    <w:name w:val="ListLabel 242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unhideWhenUsed/>
    <w:qFormat/>
    <w:rsid w:val="00AB1655"/>
    <w:rPr>
      <w:b/>
      <w:bCs/>
      <w:color w:val="943634" w:themeColor="accent2" w:themeShade="BF"/>
      <w:sz w:val="18"/>
      <w:szCs w:val="18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1">
    <w:name w:val="Body Text 2"/>
    <w:basedOn w:val="a"/>
    <w:rPr>
      <w:bCs/>
      <w:color w:val="000000"/>
      <w:sz w:val="28"/>
    </w:rPr>
  </w:style>
  <w:style w:type="paragraph" w:styleId="31">
    <w:name w:val="Body Text 3"/>
    <w:basedOn w:val="a"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B16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5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7">
    <w:name w:val="Plain Text"/>
    <w:basedOn w:val="a"/>
    <w:rsid w:val="0094285C"/>
    <w:rPr>
      <w:rFonts w:ascii="Courier New" w:hAnsi="Courier New"/>
      <w:lang w:val="x-none"/>
    </w:rPr>
  </w:style>
  <w:style w:type="paragraph" w:styleId="af8">
    <w:name w:val="No Spacing"/>
    <w:basedOn w:val="a"/>
    <w:uiPriority w:val="1"/>
    <w:qFormat/>
    <w:rsid w:val="00AB1655"/>
    <w:pPr>
      <w:spacing w:after="0" w:line="240" w:lineRule="auto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6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f4">
    <w:name w:val="Название Знак"/>
    <w:basedOn w:val="a0"/>
    <w:link w:val="af3"/>
    <w:uiPriority w:val="10"/>
    <w:rsid w:val="00AB16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B16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B16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e">
    <w:name w:val="List Paragraph"/>
    <w:basedOn w:val="a"/>
    <w:uiPriority w:val="34"/>
    <w:qFormat/>
    <w:rsid w:val="00AB16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655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1655"/>
    <w:rPr>
      <w:color w:val="943634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B16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1">
    <w:name w:val="Subtle Emphasis"/>
    <w:uiPriority w:val="19"/>
    <w:qFormat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2">
    <w:name w:val="Intense Emphasis"/>
    <w:uiPriority w:val="21"/>
    <w:qFormat/>
    <w:rsid w:val="00AB16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3">
    <w:name w:val="Subtle Reference"/>
    <w:uiPriority w:val="31"/>
    <w:qFormat/>
    <w:rsid w:val="00AB1655"/>
    <w:rPr>
      <w:i/>
      <w:iCs/>
      <w:smallCaps/>
      <w:color w:val="C0504D" w:themeColor="accent2"/>
      <w:u w:color="C0504D" w:themeColor="accent2"/>
    </w:rPr>
  </w:style>
  <w:style w:type="character" w:styleId="aff4">
    <w:name w:val="Intense Reference"/>
    <w:uiPriority w:val="32"/>
    <w:qFormat/>
    <w:rsid w:val="00AB1655"/>
    <w:rPr>
      <w:b/>
      <w:bCs/>
      <w:i/>
      <w:iCs/>
      <w:smallCaps/>
      <w:color w:val="C0504D" w:themeColor="accent2"/>
      <w:u w:color="C0504D" w:themeColor="accent2"/>
    </w:rPr>
  </w:style>
  <w:style w:type="character" w:styleId="aff5">
    <w:name w:val="Book Title"/>
    <w:uiPriority w:val="33"/>
    <w:qFormat/>
    <w:rsid w:val="00AB16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AB1655"/>
    <w:pPr>
      <w:outlineLvl w:val="9"/>
    </w:pPr>
    <w:rPr>
      <w:lang w:bidi="en-US"/>
    </w:rPr>
  </w:style>
  <w:style w:type="character" w:styleId="aff7">
    <w:name w:val="Hyperlink"/>
    <w:basedOn w:val="a0"/>
    <w:uiPriority w:val="99"/>
    <w:unhideWhenUsed/>
    <w:rsid w:val="000A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6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2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1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19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37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7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50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0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13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2026">
          <w:marLeft w:val="0"/>
          <w:marRight w:val="0"/>
          <w:marTop w:val="450"/>
          <w:marBottom w:val="0"/>
          <w:divBdr>
            <w:top w:val="single" w:sz="6" w:space="15" w:color="C74747"/>
            <w:left w:val="single" w:sz="24" w:space="15" w:color="C74747"/>
            <w:bottom w:val="single" w:sz="6" w:space="15" w:color="C74747"/>
            <w:right w:val="single" w:sz="6" w:space="15" w:color="C74747"/>
          </w:divBdr>
          <w:divsChild>
            <w:div w:id="10826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stour.ru/turistam/otel-feodosiya-g-feodos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2019-07-10T13:15:00Z</cp:lastPrinted>
  <dcterms:created xsi:type="dcterms:W3CDTF">2020-03-12T12:36:00Z</dcterms:created>
  <dcterms:modified xsi:type="dcterms:W3CDTF">2020-03-12T12:36:00Z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